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Messrs.[CAN:Name.Solicitors#01]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Your Client:</w:t>
      </w:r>
      <w:r>
        <w:rPr>
          <w:b/>
          <w:bCs/>
          <w:spacing w:val="-3"/>
        </w:rPr>
        <w:tab/>
        <w:t>[CAN:Name.Vendors#@&amp;]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Purchase of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We refer to the above matter and to previous correspondence.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We enclose a list of our completion requirements for your attention.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Encl.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246C06C-0140-4BC7-9992-A12DC9AF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Messrs</vt:lpstr>
    </vt:vector>
  </TitlesOfParts>
  <Company>Keyhouse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Messrs</dc:title>
  <dc:subject/>
  <dc:creator>Keyhouse</dc:creator>
  <cp:keywords/>
  <dc:description/>
  <cp:lastModifiedBy>Art Kavanagh</cp:lastModifiedBy>
  <cp:revision>2</cp:revision>
  <cp:lastPrinted>2006-11-01T10:26:00Z</cp:lastPrinted>
  <dcterms:created xsi:type="dcterms:W3CDTF">2019-03-04T11:29:00Z</dcterms:created>
  <dcterms:modified xsi:type="dcterms:W3CDTF">2019-03-04T11:29:00Z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92062</vt:lpwstr>
  </property>
  <property fmtid="{D5CDD505-2E9C-101B-9397-08002B2CF9AE}" pid="3" name="KeyhouseMatterReference">
    <vt:lpwstr>MIS009/0001</vt:lpwstr>
  </property>
</Properties>
</file>